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76617931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992E04">
              <w:rPr>
                <w:b/>
                <w:bCs/>
                <w:sz w:val="24"/>
                <w:szCs w:val="24"/>
              </w:rPr>
              <w:t>February 27, 2024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299B833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>Janice Blum (Chair), Kyle Anderson, Kathi Badertscher, Ryan Brewer, Gabriel Chu, Lynn Dombrowski, Rebecca Ellis, Erin Engels, Margie Ferguson, Ray Haberski, Tabitha Hardy, Cleveland Hayes, Monica Henry, Brittney-Shea Herbert, Dawn Holder, Marj Hovde, Thomas Hurley, Amelia Hurt, Hea-Won Kim, Mike Klemsz, Kim Lewis, Jiliang Li, Sara Lowe, Suzann Lupton, Karl MacDorman, Jennifer Mahoney, Kyle Minor,</w:t>
            </w:r>
            <w:r w:rsidR="00D035A3">
              <w:t xml:space="preserve"> AQ Quash-Scott,</w:t>
            </w:r>
            <w:r>
              <w:t xml:space="preserve"> Zachary Riley, Randall Roper, Paul Salama, </w:t>
            </w:r>
            <w:r w:rsidR="003810CF">
              <w:t xml:space="preserve">Anita Sale, </w:t>
            </w:r>
            <w:r>
              <w:t xml:space="preserve">Kelly Sumner, Jeff Wilson, Tom Wilson, Juan Yepes, Constantin Yiannoutsos; Staff: Dezra Despain  </w:t>
            </w:r>
            <w:r w:rsidRPr="00711DD9">
              <w:t xml:space="preserve"> 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0D0BB82" w14:textId="7F1E0DC7" w:rsidR="004C47D3" w:rsidRPr="00711DD9" w:rsidRDefault="004C47D3" w:rsidP="00B319CC">
            <w:pPr>
              <w:pStyle w:val="Standard1"/>
            </w:pPr>
            <w:r w:rsidRPr="00711DD9">
              <w:t>Guests:</w:t>
            </w:r>
            <w:r w:rsidR="00B73DE0">
              <w:t xml:space="preserve"> Katie Adams</w:t>
            </w:r>
            <w:r w:rsidR="00B319CC">
              <w:t>, PhD</w:t>
            </w:r>
            <w:r w:rsidR="00B73DE0">
              <w:t>,</w:t>
            </w:r>
            <w:r w:rsidR="00B319CC" w:rsidRPr="00B319CC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B319CC" w:rsidRPr="00B319CC">
              <w:t>Strategic Initiatives Consultant</w:t>
            </w:r>
            <w:r w:rsidR="00B319CC">
              <w:t>, Office of the VP Strategic Operations</w:t>
            </w:r>
            <w:r w:rsidRPr="00711DD9">
              <w:t xml:space="preserve"> </w:t>
            </w: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7A422C5A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992E04">
              <w:t>January 22, 2024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6F7E909F" w:rsidR="001276C3" w:rsidRPr="00141F0E" w:rsidRDefault="00D035A3" w:rsidP="006C578B">
            <w:pPr>
              <w:pStyle w:val="Standard1"/>
              <w:tabs>
                <w:tab w:val="left" w:pos="72"/>
              </w:tabs>
              <w:jc w:val="right"/>
            </w:pPr>
            <w:r>
              <w:t>Quash-Scott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77777777" w:rsidR="001276C3" w:rsidRDefault="001276C3" w:rsidP="006C578B">
            <w:pPr>
              <w:pStyle w:val="Standard1"/>
            </w:pPr>
            <w:r>
              <w:t>Graduate Office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2F2084" w14:paraId="19C8A8DC" w14:textId="77777777" w:rsidTr="008D5847">
        <w:tc>
          <w:tcPr>
            <w:tcW w:w="9828" w:type="dxa"/>
          </w:tcPr>
          <w:p w14:paraId="1DDEBAA2" w14:textId="0BEC5636" w:rsidR="00673948" w:rsidRDefault="00673948" w:rsidP="002F2084">
            <w:pPr>
              <w:pStyle w:val="Standard1"/>
            </w:pPr>
            <w:r>
              <w:t>2:05-2:15 p.m., Kelley Sumner will talk about the EAP requirements for 100% online programs.</w:t>
            </w:r>
          </w:p>
          <w:p w14:paraId="6A5396E5" w14:textId="0CAEC89F" w:rsidR="002F2084" w:rsidRDefault="002F2084" w:rsidP="002F2084">
            <w:pPr>
              <w:pStyle w:val="Standard1"/>
            </w:pPr>
            <w:r>
              <w:t>2:15</w:t>
            </w:r>
            <w:r w:rsidR="00673948">
              <w:t>-2:45</w:t>
            </w:r>
            <w:r>
              <w:t xml:space="preserve"> p.m. </w:t>
            </w:r>
            <w:r w:rsidR="00B319CC">
              <w:t xml:space="preserve"> Katie Adams, PhD,</w:t>
            </w:r>
            <w:r w:rsidR="00B319CC" w:rsidRPr="00B319CC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B319CC" w:rsidRPr="00B319CC">
              <w:t>Strategic Initiatives Consultant</w:t>
            </w:r>
            <w:r w:rsidR="00B319CC">
              <w:t>, Office of the VP Strategic Operations</w:t>
            </w:r>
            <w:r w:rsidR="00B319CC" w:rsidRPr="00711DD9">
              <w:t xml:space="preserve"> </w:t>
            </w:r>
            <w:r w:rsidR="004864A5">
              <w:t>will present on the Slate, a CRM and application platform</w:t>
            </w:r>
            <w:r w:rsidR="00673948">
              <w:t>.</w:t>
            </w:r>
          </w:p>
        </w:tc>
        <w:tc>
          <w:tcPr>
            <w:tcW w:w="1350" w:type="dxa"/>
          </w:tcPr>
          <w:p w14:paraId="23D0BBFD" w14:textId="77777777" w:rsidR="002F2084" w:rsidRDefault="002F2084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704A630D" w14:textId="77777777" w:rsidTr="008D5847">
        <w:tc>
          <w:tcPr>
            <w:tcW w:w="9828" w:type="dxa"/>
          </w:tcPr>
          <w:p w14:paraId="30ED997D" w14:textId="77777777" w:rsidR="001276C3" w:rsidRDefault="001276C3" w:rsidP="006C578B">
            <w:pPr>
              <w:pStyle w:val="Standard1"/>
            </w:pPr>
            <w:r>
              <w:t>Consent Agenda</w:t>
            </w:r>
          </w:p>
          <w:p w14:paraId="0CE725D5" w14:textId="77777777" w:rsidR="00E45A66" w:rsidRDefault="00E45A66" w:rsidP="00E45A66">
            <w:pPr>
              <w:pStyle w:val="Standard1"/>
              <w:numPr>
                <w:ilvl w:val="0"/>
                <w:numId w:val="5"/>
              </w:numPr>
            </w:pPr>
            <w:r>
              <w:t>New accelerated BS to MS in Music Technology from the Department of Music &amp; Arts Technology in the Herron School of Art &amp; Design</w:t>
            </w:r>
          </w:p>
          <w:p w14:paraId="4BF9071C" w14:textId="4269E8C3" w:rsidR="00B319CC" w:rsidRDefault="00B319CC" w:rsidP="00E45A66">
            <w:pPr>
              <w:pStyle w:val="Standard1"/>
              <w:numPr>
                <w:ilvl w:val="0"/>
                <w:numId w:val="5"/>
              </w:numPr>
            </w:pPr>
            <w:r>
              <w:t>New PhD minor in Psychology of Teaching from the Department of Psychology in the School of Science</w:t>
            </w:r>
          </w:p>
          <w:p w14:paraId="1EC2C6DC" w14:textId="77777777" w:rsidR="001276C3" w:rsidRPr="00520B88" w:rsidRDefault="001276C3" w:rsidP="006C578B">
            <w:pPr>
              <w:pStyle w:val="Standard1"/>
            </w:pP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  <w:tr w:rsidR="00B319CC" w14:paraId="5674451C" w14:textId="77777777" w:rsidTr="008D5847">
        <w:tc>
          <w:tcPr>
            <w:tcW w:w="9828" w:type="dxa"/>
          </w:tcPr>
          <w:p w14:paraId="7C182C53" w14:textId="02FD907B" w:rsidR="00B319CC" w:rsidRPr="00B319CC" w:rsidRDefault="00B319CC" w:rsidP="00B319CC">
            <w:pPr>
              <w:rPr>
                <w:sz w:val="28"/>
                <w:szCs w:val="28"/>
              </w:rPr>
            </w:pPr>
            <w:r>
              <w:t>Next Meeting and Adjournment (</w:t>
            </w:r>
            <w:r>
              <w:rPr>
                <w:b/>
              </w:rPr>
              <w:t>March 26, 2024, 1:30 pm, Zoom</w:t>
            </w:r>
            <w:r>
              <w:t>)</w:t>
            </w:r>
          </w:p>
        </w:tc>
        <w:tc>
          <w:tcPr>
            <w:tcW w:w="1350" w:type="dxa"/>
          </w:tcPr>
          <w:p w14:paraId="4669732C" w14:textId="77777777" w:rsidR="00B319CC" w:rsidRDefault="00B319CC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</w:tbl>
    <w:p w14:paraId="3C94F7D7" w14:textId="77777777" w:rsidR="00604182" w:rsidRDefault="00604182" w:rsidP="006C578B"/>
    <w:sectPr w:rsidR="00604182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3"/>
  </w:num>
  <w:num w:numId="5" w16cid:durableId="369038147">
    <w:abstractNumId w:val="4"/>
  </w:num>
  <w:num w:numId="6" w16cid:durableId="474566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084"/>
    <w:rsid w:val="002F2A5F"/>
    <w:rsid w:val="002F7460"/>
    <w:rsid w:val="00311ABD"/>
    <w:rsid w:val="00317EC3"/>
    <w:rsid w:val="0032242A"/>
    <w:rsid w:val="003314DC"/>
    <w:rsid w:val="003562C8"/>
    <w:rsid w:val="00356844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368C8"/>
    <w:rsid w:val="004408FD"/>
    <w:rsid w:val="004655DC"/>
    <w:rsid w:val="00475127"/>
    <w:rsid w:val="00477E24"/>
    <w:rsid w:val="004864A5"/>
    <w:rsid w:val="004968D3"/>
    <w:rsid w:val="004A16DB"/>
    <w:rsid w:val="004A3ED8"/>
    <w:rsid w:val="004C47D3"/>
    <w:rsid w:val="004D7ED5"/>
    <w:rsid w:val="004F670D"/>
    <w:rsid w:val="0050422E"/>
    <w:rsid w:val="00520B88"/>
    <w:rsid w:val="00561E83"/>
    <w:rsid w:val="00575BE9"/>
    <w:rsid w:val="00584642"/>
    <w:rsid w:val="00594956"/>
    <w:rsid w:val="005D140C"/>
    <w:rsid w:val="00604182"/>
    <w:rsid w:val="0061612B"/>
    <w:rsid w:val="0062018B"/>
    <w:rsid w:val="00641856"/>
    <w:rsid w:val="00641B79"/>
    <w:rsid w:val="00651E5A"/>
    <w:rsid w:val="00660BAB"/>
    <w:rsid w:val="00661C76"/>
    <w:rsid w:val="006621F5"/>
    <w:rsid w:val="0066588B"/>
    <w:rsid w:val="00673948"/>
    <w:rsid w:val="0067465A"/>
    <w:rsid w:val="00674881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978AE"/>
    <w:rsid w:val="008A5F4F"/>
    <w:rsid w:val="008A7CFF"/>
    <w:rsid w:val="008A7E52"/>
    <w:rsid w:val="008D5847"/>
    <w:rsid w:val="008F5FA6"/>
    <w:rsid w:val="009105DE"/>
    <w:rsid w:val="00967888"/>
    <w:rsid w:val="00992E04"/>
    <w:rsid w:val="00993C50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6EB0"/>
    <w:rsid w:val="00AA6E36"/>
    <w:rsid w:val="00AA70B4"/>
    <w:rsid w:val="00AF58B4"/>
    <w:rsid w:val="00AF6BDC"/>
    <w:rsid w:val="00AF7C63"/>
    <w:rsid w:val="00B0618B"/>
    <w:rsid w:val="00B10DC2"/>
    <w:rsid w:val="00B1128D"/>
    <w:rsid w:val="00B13996"/>
    <w:rsid w:val="00B23B83"/>
    <w:rsid w:val="00B319CC"/>
    <w:rsid w:val="00B357FB"/>
    <w:rsid w:val="00B46447"/>
    <w:rsid w:val="00B54A49"/>
    <w:rsid w:val="00B6644A"/>
    <w:rsid w:val="00B66BD4"/>
    <w:rsid w:val="00B73DE0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E77DB"/>
    <w:rsid w:val="00D010C4"/>
    <w:rsid w:val="00D035A3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45A66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37C7D"/>
    <w:rsid w:val="00F7309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249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2024-02-12T15:51:00Z</dcterms:created>
  <dcterms:modified xsi:type="dcterms:W3CDTF">2024-02-22T13:45:00Z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